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C0FE" w14:textId="614AA69C" w:rsidR="00C509A9" w:rsidRDefault="00C509A9" w:rsidP="0013275C">
      <w:pPr>
        <w:spacing w:line="360" w:lineRule="auto"/>
        <w:ind w:left="357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sz w:val="24"/>
          <w:szCs w:val="24"/>
        </w:rPr>
        <w:t>COMUNICATO STAMPA</w:t>
      </w:r>
    </w:p>
    <w:p w14:paraId="48BFD6BD" w14:textId="05E6F64E" w:rsidR="0013275C" w:rsidRPr="00DB6CEF" w:rsidRDefault="0013275C" w:rsidP="0013275C">
      <w:pPr>
        <w:spacing w:line="360" w:lineRule="auto"/>
        <w:ind w:left="357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/>
          <w:sz w:val="24"/>
          <w:szCs w:val="24"/>
        </w:rPr>
        <w:t xml:space="preserve">Perché </w:t>
      </w:r>
      <w:r w:rsidR="00C509A9">
        <w:rPr>
          <w:rFonts w:ascii="Times New Roman" w:eastAsia="Bookman Old Style" w:hAnsi="Times New Roman" w:cs="Times New Roman"/>
          <w:b/>
          <w:sz w:val="24"/>
          <w:szCs w:val="24"/>
        </w:rPr>
        <w:t xml:space="preserve">dopo l’arresto di Almasri, </w:t>
      </w:r>
      <w:r w:rsidRPr="00DB6CEF">
        <w:rPr>
          <w:rFonts w:ascii="Times New Roman" w:eastAsia="Bookman Old Style" w:hAnsi="Times New Roman" w:cs="Times New Roman"/>
          <w:b/>
          <w:sz w:val="24"/>
          <w:szCs w:val="24"/>
        </w:rPr>
        <w:t>l</w:t>
      </w:r>
      <w:r w:rsidR="00CE51A5" w:rsidRPr="00DB6CEF">
        <w:rPr>
          <w:rFonts w:ascii="Times New Roman" w:eastAsia="Bookman Old Style" w:hAnsi="Times New Roman" w:cs="Times New Roman"/>
          <w:b/>
          <w:sz w:val="24"/>
          <w:szCs w:val="24"/>
        </w:rPr>
        <w:t xml:space="preserve">’Italia </w:t>
      </w:r>
      <w:r w:rsidRPr="00DB6CEF">
        <w:rPr>
          <w:rFonts w:ascii="Times New Roman" w:eastAsia="Bookman Old Style" w:hAnsi="Times New Roman" w:cs="Times New Roman"/>
          <w:b/>
          <w:sz w:val="24"/>
          <w:szCs w:val="24"/>
        </w:rPr>
        <w:t>chiese alla Corte penale internazionale di astenersi dal commentar</w:t>
      </w:r>
      <w:r w:rsidR="00C509A9">
        <w:rPr>
          <w:rFonts w:ascii="Times New Roman" w:eastAsia="Bookman Old Style" w:hAnsi="Times New Roman" w:cs="Times New Roman"/>
          <w:b/>
          <w:sz w:val="24"/>
          <w:szCs w:val="24"/>
        </w:rPr>
        <w:t>lo</w:t>
      </w:r>
      <w:r w:rsidRPr="00DB6CEF">
        <w:rPr>
          <w:rFonts w:ascii="Times New Roman" w:eastAsia="Bookman Old Style" w:hAnsi="Times New Roman" w:cs="Times New Roman"/>
          <w:b/>
          <w:sz w:val="24"/>
          <w:szCs w:val="24"/>
        </w:rPr>
        <w:t xml:space="preserve"> pubblicamente</w:t>
      </w:r>
      <w:r w:rsidR="00C509A9">
        <w:rPr>
          <w:rFonts w:ascii="Times New Roman" w:eastAsia="Bookman Old Style" w:hAnsi="Times New Roman" w:cs="Times New Roman"/>
          <w:b/>
          <w:sz w:val="24"/>
          <w:szCs w:val="24"/>
        </w:rPr>
        <w:t>?</w:t>
      </w:r>
    </w:p>
    <w:p w14:paraId="163F59EF" w14:textId="23A7AF01" w:rsidR="002C446A" w:rsidRPr="00DB6CEF" w:rsidRDefault="0061560F" w:rsidP="002C446A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L’a</w:t>
      </w:r>
      <w:r w:rsidR="00A17898" w:rsidRPr="00DB6CEF">
        <w:rPr>
          <w:rFonts w:ascii="Times New Roman" w:eastAsia="Bookman Old Style" w:hAnsi="Times New Roman" w:cs="Times New Roman"/>
          <w:bCs/>
          <w:sz w:val="24"/>
          <w:szCs w:val="24"/>
        </w:rPr>
        <w:t>vvocato di Lam</w:t>
      </w:r>
      <w:r w:rsidR="006234D3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Magok</w:t>
      </w:r>
      <w:r w:rsidR="00A17898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dell</w:t>
      </w:r>
      <w:r w:rsidR="006234D3" w:rsidRPr="00DB6CEF">
        <w:rPr>
          <w:rFonts w:ascii="Times New Roman" w:eastAsia="Bookman Old Style" w:hAnsi="Times New Roman" w:cs="Times New Roman"/>
          <w:bCs/>
          <w:sz w:val="24"/>
          <w:szCs w:val="24"/>
        </w:rPr>
        <w:t>’</w:t>
      </w:r>
      <w:r w:rsidR="00A17898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Associazione Baobab Experience 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chiede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al Tribunale dei Ministri di interloquire con gli Uffici della Corte penale internazionale 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(CPI)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per acquisire</w:t>
      </w:r>
      <w:r w:rsidRPr="001E0BFE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="009A584C" w:rsidRPr="001E0BFE">
        <w:rPr>
          <w:rFonts w:ascii="Times New Roman" w:eastAsia="Bookman Old Style" w:hAnsi="Times New Roman" w:cs="Times New Roman"/>
          <w:bCs/>
          <w:sz w:val="24"/>
          <w:szCs w:val="24"/>
        </w:rPr>
        <w:t xml:space="preserve">elementi </w:t>
      </w:r>
      <w:r w:rsidR="00A82F40" w:rsidRPr="001E0BFE">
        <w:rPr>
          <w:rFonts w:ascii="Times New Roman" w:eastAsia="Bookman Old Style" w:hAnsi="Times New Roman" w:cs="Times New Roman"/>
          <w:bCs/>
          <w:sz w:val="24"/>
          <w:szCs w:val="24"/>
        </w:rPr>
        <w:t>di prova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rispetto a quanto riportato dalla Corte stessa in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un comunicato emesso il 22/1/2025</w:t>
      </w:r>
      <w:r w:rsidR="002C446A" w:rsidRPr="00DB6CEF">
        <w:rPr>
          <w:rFonts w:ascii="Times New Roman" w:hAnsi="Times New Roman" w:cs="Times New Roman"/>
          <w:sz w:val="24"/>
          <w:szCs w:val="24"/>
        </w:rPr>
        <w:t xml:space="preserve">, 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secondo il quale </w:t>
      </w:r>
      <w:r w:rsidR="00CE51A5" w:rsidRPr="00DB6CEF">
        <w:rPr>
          <w:rFonts w:ascii="Times New Roman" w:eastAsia="Bookman Old Style" w:hAnsi="Times New Roman" w:cs="Times New Roman"/>
          <w:b/>
          <w:sz w:val="24"/>
          <w:szCs w:val="24"/>
        </w:rPr>
        <w:t xml:space="preserve">le autorità italiane </w:t>
      </w:r>
      <w:r w:rsidR="002C446A" w:rsidRPr="00DB6CEF">
        <w:rPr>
          <w:rFonts w:ascii="Times New Roman" w:eastAsia="Bookman Old Style" w:hAnsi="Times New Roman" w:cs="Times New Roman"/>
          <w:b/>
          <w:sz w:val="24"/>
          <w:szCs w:val="24"/>
        </w:rPr>
        <w:t xml:space="preserve">hanno </w:t>
      </w:r>
      <w:r w:rsidR="00CE51A5" w:rsidRPr="00DB6CEF">
        <w:rPr>
          <w:rFonts w:ascii="Times New Roman" w:eastAsia="Bookman Old Style" w:hAnsi="Times New Roman" w:cs="Times New Roman"/>
          <w:b/>
          <w:sz w:val="24"/>
          <w:szCs w:val="24"/>
        </w:rPr>
        <w:t>chiesto alla CPI di non commentare pubblicamente l’avvenuto arresto a Torino</w:t>
      </w:r>
      <w:r w:rsidR="002C446A" w:rsidRPr="00DB6CEF">
        <w:rPr>
          <w:rFonts w:ascii="Times New Roman" w:eastAsia="Bookman Old Style" w:hAnsi="Times New Roman" w:cs="Times New Roman"/>
          <w:b/>
          <w:sz w:val="24"/>
          <w:szCs w:val="24"/>
        </w:rPr>
        <w:t>.</w:t>
      </w:r>
    </w:p>
    <w:p w14:paraId="6930066D" w14:textId="43D3ED79" w:rsidR="002C446A" w:rsidRPr="00DB6CEF" w:rsidRDefault="002C446A" w:rsidP="002C446A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Nel comunicato</w:t>
      </w:r>
      <w:r w:rsidR="001E0BFE">
        <w:rPr>
          <w:rFonts w:ascii="Times New Roman" w:eastAsia="Bookman Old Style" w:hAnsi="Times New Roman" w:cs="Times New Roman"/>
          <w:bCs/>
          <w:sz w:val="24"/>
          <w:szCs w:val="24"/>
        </w:rPr>
        <w:t>,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la Corte Penale Internazionale ricostruiva le vicende relative al mandato emesso e al successivo arresto di Almasri riportando che “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il sospettato è stato localizzato a Torino, Italia, nelle prime ore di domenica 19 gennaio 2025 ed è stato arrestato con successo dalle autorità italiane. Il sospettato è stato trattenuto in custodia in attesa del completamento delle procedure nazionali richieste relative al suo arresto e alla sua consegna alla Corte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”. Nel comunicato la CPI specifica che “</w:t>
      </w:r>
      <w:r w:rsidRPr="00DB6CEF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su richiesta delle autorità italiane e nel pieno rispetto delle stesse, la Corte si è deliberatamente astenuta dal commentare pubblicamente l'arresto del sospettato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”. </w:t>
      </w:r>
    </w:p>
    <w:p w14:paraId="690A7EF9" w14:textId="53BE63D5" w:rsidR="000D244D" w:rsidRPr="00DB6CEF" w:rsidRDefault="0061560F" w:rsidP="000D244D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Ora che </w:t>
      </w:r>
      <w:r w:rsidRPr="00DB6CEF">
        <w:rPr>
          <w:rFonts w:ascii="Times New Roman" w:eastAsia="Bookman Old Style" w:hAnsi="Times New Roman" w:cs="Times New Roman"/>
          <w:b/>
          <w:sz w:val="24"/>
          <w:szCs w:val="24"/>
        </w:rPr>
        <w:t>la procura di Roma ha inviato al Tribunale dei ministri la denuncia presentata il 3 febbraio scorso da Lam Magok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, vittima e testimone dei crimini commessi dal generale libico Osama Almasri,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l’avvocato Francesco Romeo </w:t>
      </w:r>
      <w:r w:rsidR="007252F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scrive al collegio per i reati ministeriali, </w:t>
      </w:r>
      <w:r w:rsidR="000D244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al fine di districare </w:t>
      </w:r>
      <w:r w:rsidR="00CE51A5" w:rsidRPr="00DB6CEF">
        <w:rPr>
          <w:rFonts w:ascii="Times New Roman" w:eastAsia="Bookman Old Style" w:hAnsi="Times New Roman" w:cs="Times New Roman"/>
          <w:bCs/>
          <w:sz w:val="24"/>
          <w:szCs w:val="24"/>
        </w:rPr>
        <w:t>un passaggio centrale</w:t>
      </w:r>
      <w:r w:rsidR="000D244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per la completa ricostruzione dei fatti e per la loro conseguente valutazione giuridica</w:t>
      </w:r>
    </w:p>
    <w:p w14:paraId="6873D12B" w14:textId="5FB332FC" w:rsidR="00074A1D" w:rsidRPr="00DB6CEF" w:rsidRDefault="00074A1D" w:rsidP="00613EDB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“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In considerazione dei fatti successivi, ovvero la liberazione di Almasri</w:t>
      </w:r>
      <w:r w:rsidR="00CC1014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, la sua 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espulsione </w:t>
      </w:r>
      <w:r w:rsidR="00CC1014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e il 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contestuale riaccompagno in Libia, è fondamentale –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secondo l’avvocato 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–</w:t>
      </w:r>
      <w:r w:rsidR="001E0BFE">
        <w:rPr>
          <w:rFonts w:ascii="Times New Roman" w:eastAsia="Bookman Old Style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A82F40" w:rsidRPr="001E0BFE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accertare ed individuare</w:t>
      </w:r>
      <w:r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</w:t>
      </w:r>
      <w:r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da quale autorità sia pervenuto l’invito</w:t>
      </w:r>
      <w:r w:rsidR="001E0BFE" w:rsidRPr="001E0BFE">
        <w:rPr>
          <w:rFonts w:ascii="Times New Roman" w:eastAsia="Bookman Old Style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="001E0BFE"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rivolto alla Corte</w:t>
      </w:r>
      <w:r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 xml:space="preserve"> </w:t>
      </w:r>
      <w:r w:rsidR="002955EA"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a rimanere in silenzio</w:t>
      </w:r>
      <w:r w:rsidR="001E0BFE" w:rsidRPr="001E0BFE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, </w:t>
      </w:r>
      <w:r w:rsidR="00613EDB"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da chi sia venuto l’ordine</w:t>
      </w:r>
      <w:r w:rsidR="00613EDB"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di trasmette</w:t>
      </w:r>
      <w:r w:rsidR="0025448B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re</w:t>
      </w:r>
      <w:r w:rsidR="00613EDB"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alla Corte penale internazionale la richiesta di riservatezza e </w:t>
      </w:r>
      <w:r w:rsidR="00613EDB" w:rsidRPr="001E0BFE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quali ragioni</w:t>
      </w:r>
      <w:r w:rsidR="00613EDB" w:rsidRPr="00DB6CEF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hanno sotteso la richiesta di non commentare pubblicamente l’arresto del generale libico”</w:t>
      </w:r>
    </w:p>
    <w:p w14:paraId="71DB4155" w14:textId="30D84DB2" w:rsidR="00CC1014" w:rsidRPr="00DB6CEF" w:rsidRDefault="00D32666" w:rsidP="00C509A9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In un contesto in cui le autorità italiane non si sono rivolte</w:t>
      </w:r>
      <w:r w:rsidR="00C509A9" w:rsidRP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="00C509A9" w:rsidRPr="00DB6CEF">
        <w:rPr>
          <w:rFonts w:ascii="Times New Roman" w:eastAsia="Bookman Old Style" w:hAnsi="Times New Roman" w:cs="Times New Roman"/>
          <w:bCs/>
          <w:sz w:val="24"/>
          <w:szCs w:val="24"/>
        </w:rPr>
        <w:t>alla CPI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, come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 invece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esplicitamente richiesto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 (e successivamente ribadito dal Procuratore dell’Aia Khan)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, per risolvere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 eventuali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problemi che 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>secondo il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Ministro della Giustizia Nordio 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>hanno impedito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l'esecuzione della richiesta di cooperazione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, in una cornice </w:t>
      </w:r>
      <w:r w:rsidR="002D5BF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in cui, Almasri, senza alcun preavviso o consultazione con la Corte, è stato rilasciato dalla custodia e riportato in Libia, 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>le autorità italiane hanno</w:t>
      </w:r>
      <w:r w:rsidR="002D5BF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tuttavia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lastRenderedPageBreak/>
        <w:t>avvertit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>o</w:t>
      </w:r>
      <w:r w:rsidR="002D5BF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l’urgenza 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e trovato il tempo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di </w:t>
      </w:r>
      <w:r w:rsidR="002D5BFD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comunicare con la Corte per 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>chieder</w:t>
      </w:r>
      <w:r w:rsidR="002D5BFD" w:rsidRPr="00DB6CEF">
        <w:rPr>
          <w:rFonts w:ascii="Times New Roman" w:eastAsia="Bookman Old Style" w:hAnsi="Times New Roman" w:cs="Times New Roman"/>
          <w:bCs/>
          <w:sz w:val="24"/>
          <w:szCs w:val="24"/>
        </w:rPr>
        <w:t>e</w:t>
      </w:r>
      <w:r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il silenzio stampa sull’avvenuto arresto.</w:t>
      </w:r>
    </w:p>
    <w:p w14:paraId="29E79FC1" w14:textId="100F53C1" w:rsidR="002D5BFD" w:rsidRPr="00DB6CEF" w:rsidRDefault="00CC1014" w:rsidP="00613EDB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sz w:val="24"/>
          <w:szCs w:val="24"/>
        </w:rPr>
        <w:t>Anche s</w:t>
      </w:r>
      <w:r w:rsidR="005B2D25" w:rsidRPr="00DB6CEF">
        <w:rPr>
          <w:rFonts w:ascii="Times New Roman" w:eastAsia="Bookman Old Style" w:hAnsi="Times New Roman" w:cs="Times New Roman"/>
          <w:bCs/>
          <w:sz w:val="24"/>
          <w:szCs w:val="24"/>
        </w:rPr>
        <w:t>econdo Lam Magok</w:t>
      </w:r>
      <w:r>
        <w:rPr>
          <w:rFonts w:ascii="Times New Roman" w:eastAsia="Bookman Old Style" w:hAnsi="Times New Roman" w:cs="Times New Roman"/>
          <w:bCs/>
          <w:sz w:val="24"/>
          <w:szCs w:val="24"/>
        </w:rPr>
        <w:t xml:space="preserve"> la richiesta di non parlare pubblicamente dell’arresto getta un ulteriore ombra sul comportamento del Governo</w:t>
      </w:r>
    </w:p>
    <w:p w14:paraId="4D40B047" w14:textId="31A11A7B" w:rsidR="00730F72" w:rsidRDefault="00730F72" w:rsidP="00DB6CEF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“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Mi conforta</w:t>
      </w:r>
      <w:r>
        <w:rPr>
          <w:rFonts w:ascii="Times New Roman" w:eastAsia="Bookman Old Style" w:hAnsi="Times New Roman" w:cs="Times New Roman"/>
          <w:bCs/>
          <w:sz w:val="24"/>
          <w:szCs w:val="24"/>
        </w:rPr>
        <w:t xml:space="preserve"> –</w:t>
      </w:r>
      <w:r w:rsidR="000F122A">
        <w:rPr>
          <w:rFonts w:ascii="Times New Roman" w:eastAsia="Bookman Old Style" w:hAnsi="Times New Roman" w:cs="Times New Roman"/>
          <w:bCs/>
          <w:sz w:val="24"/>
          <w:szCs w:val="24"/>
        </w:rPr>
        <w:t xml:space="preserve"> sostiene </w:t>
      </w:r>
      <w:r>
        <w:rPr>
          <w:rFonts w:ascii="Times New Roman" w:eastAsia="Bookman Old Style" w:hAnsi="Times New Roman" w:cs="Times New Roman"/>
          <w:bCs/>
          <w:sz w:val="24"/>
          <w:szCs w:val="24"/>
        </w:rPr>
        <w:t>Magok, facendo riferimento alle 14</w:t>
      </w:r>
      <w:r w:rsidR="00206788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 pagine del Procuratore della C</w:t>
      </w:r>
      <w:r w:rsidR="00DB6CEF" w:rsidRPr="00DB6CEF">
        <w:rPr>
          <w:rFonts w:ascii="Times New Roman" w:eastAsia="Bookman Old Style" w:hAnsi="Times New Roman" w:cs="Times New Roman"/>
          <w:bCs/>
          <w:sz w:val="24"/>
          <w:szCs w:val="24"/>
        </w:rPr>
        <w:t>orte Pena</w:t>
      </w:r>
      <w:r>
        <w:rPr>
          <w:rFonts w:ascii="Times New Roman" w:eastAsia="Bookman Old Style" w:hAnsi="Times New Roman" w:cs="Times New Roman"/>
          <w:bCs/>
          <w:sz w:val="24"/>
          <w:szCs w:val="24"/>
        </w:rPr>
        <w:t xml:space="preserve">le </w:t>
      </w:r>
      <w:r w:rsidR="00DB6CEF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Internazionale con cui </w:t>
      </w:r>
      <w:r w:rsidR="00CC1014">
        <w:rPr>
          <w:rFonts w:ascii="Times New Roman" w:eastAsia="Bookman Old Style" w:hAnsi="Times New Roman" w:cs="Times New Roman"/>
          <w:bCs/>
          <w:sz w:val="24"/>
          <w:szCs w:val="24"/>
        </w:rPr>
        <w:t xml:space="preserve">l’Aia ha </w:t>
      </w:r>
      <w:r w:rsidR="00DB6CEF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formalmente </w:t>
      </w:r>
      <w:r w:rsidR="00CC1014" w:rsidRPr="00DB6CEF">
        <w:rPr>
          <w:rFonts w:ascii="Times New Roman" w:eastAsia="Bookman Old Style" w:hAnsi="Times New Roman" w:cs="Times New Roman"/>
          <w:bCs/>
          <w:sz w:val="24"/>
          <w:szCs w:val="24"/>
        </w:rPr>
        <w:t xml:space="preserve">richiesto </w:t>
      </w:r>
      <w:r w:rsidR="00DB6CEF" w:rsidRPr="00DB6CEF">
        <w:rPr>
          <w:rFonts w:ascii="Times New Roman" w:eastAsia="Bookman Old Style" w:hAnsi="Times New Roman" w:cs="Times New Roman"/>
          <w:bCs/>
          <w:sz w:val="24"/>
          <w:szCs w:val="24"/>
        </w:rPr>
        <w:t>di deferire l’Italia all’Assemblea degli Stati e al Consiglio di sicurezza</w:t>
      </w:r>
      <w:r>
        <w:rPr>
          <w:rFonts w:ascii="Times New Roman" w:eastAsia="Bookman Old Style" w:hAnsi="Times New Roman" w:cs="Times New Roman"/>
          <w:bCs/>
          <w:sz w:val="24"/>
          <w:szCs w:val="24"/>
        </w:rPr>
        <w:t>, che “</w:t>
      </w:r>
      <w:r w:rsidR="00CC1014"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ven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gano lì</w:t>
      </w:r>
      <w:r w:rsidR="00CC1014"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riportate 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quelle</w:t>
      </w:r>
      <w:r w:rsidR="00CC1014"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stesse omissioni e contraddizioni e quegli stessi</w:t>
      </w:r>
      <w:r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errori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del </w:t>
      </w:r>
      <w:r w:rsidR="00CC1014"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Governo Meloni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 xml:space="preserve">scritti nero su bianco anche </w:t>
      </w:r>
      <w:r w:rsidRPr="00730F72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nella mia denuncia a Nordio, Piantedosi e Meloni per il reato di favoreggiamento</w:t>
      </w:r>
      <w:r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”</w:t>
      </w:r>
    </w:p>
    <w:p w14:paraId="632A74B2" w14:textId="15FAC63B" w:rsidR="00206788" w:rsidRDefault="00730F72" w:rsidP="00DB6CEF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sz w:val="24"/>
          <w:szCs w:val="24"/>
        </w:rPr>
        <w:t xml:space="preserve">In poche parole anche nella lettura della Corte </w:t>
      </w:r>
      <w:r w:rsidR="00C509A9">
        <w:rPr>
          <w:rFonts w:ascii="Times New Roman" w:eastAsia="Bookman Old Style" w:hAnsi="Times New Roman" w:cs="Times New Roman"/>
          <w:bCs/>
          <w:sz w:val="24"/>
          <w:szCs w:val="24"/>
        </w:rPr>
        <w:t xml:space="preserve">compare una non troppo velata accusa al Governo italiano </w:t>
      </w:r>
      <w:r w:rsidR="008E0184">
        <w:rPr>
          <w:rFonts w:ascii="Times New Roman" w:eastAsia="Bookman Old Style" w:hAnsi="Times New Roman" w:cs="Times New Roman"/>
          <w:bCs/>
          <w:sz w:val="24"/>
          <w:szCs w:val="24"/>
        </w:rPr>
        <w:t xml:space="preserve">di aver coscientemente voluto </w:t>
      </w:r>
      <w:r w:rsidR="00DB6CEF" w:rsidRPr="002A4776">
        <w:rPr>
          <w:rFonts w:ascii="Times New Roman" w:eastAsia="Bookman Old Style" w:hAnsi="Times New Roman" w:cs="Times New Roman"/>
          <w:bCs/>
          <w:sz w:val="24"/>
          <w:szCs w:val="24"/>
        </w:rPr>
        <w:t xml:space="preserve">mettere </w:t>
      </w:r>
      <w:r w:rsidR="00CC1014" w:rsidRPr="002A4776">
        <w:rPr>
          <w:rFonts w:ascii="Times New Roman" w:eastAsia="Bookman Old Style" w:hAnsi="Times New Roman" w:cs="Times New Roman"/>
          <w:bCs/>
          <w:sz w:val="24"/>
          <w:szCs w:val="24"/>
        </w:rPr>
        <w:t xml:space="preserve">al riparo dalla giustizia </w:t>
      </w:r>
      <w:r w:rsidR="008E0184">
        <w:rPr>
          <w:rFonts w:ascii="Times New Roman" w:eastAsia="Bookman Old Style" w:hAnsi="Times New Roman" w:cs="Times New Roman"/>
          <w:bCs/>
          <w:sz w:val="24"/>
          <w:szCs w:val="24"/>
        </w:rPr>
        <w:t xml:space="preserve">il </w:t>
      </w:r>
      <w:r w:rsidR="00CC1014" w:rsidRPr="002A4776">
        <w:rPr>
          <w:rFonts w:ascii="Times New Roman" w:eastAsia="Bookman Old Style" w:hAnsi="Times New Roman" w:cs="Times New Roman"/>
          <w:bCs/>
          <w:sz w:val="24"/>
          <w:szCs w:val="24"/>
        </w:rPr>
        <w:t>torturatore</w:t>
      </w:r>
      <w:r w:rsidR="008E0184">
        <w:rPr>
          <w:rFonts w:ascii="Times New Roman" w:eastAsia="Bookman Old Style" w:hAnsi="Times New Roman" w:cs="Times New Roman"/>
          <w:bCs/>
          <w:sz w:val="24"/>
          <w:szCs w:val="24"/>
        </w:rPr>
        <w:t xml:space="preserve"> Alamasri.</w:t>
      </w:r>
    </w:p>
    <w:p w14:paraId="6BD11A65" w14:textId="77777777" w:rsidR="002A4776" w:rsidRDefault="002A4776" w:rsidP="00461467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6D122A60" w14:textId="133B7A57" w:rsidR="00461467" w:rsidRPr="00461467" w:rsidRDefault="00461467" w:rsidP="00461467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461467">
        <w:rPr>
          <w:rFonts w:ascii="Times New Roman" w:eastAsia="Bookman Old Style" w:hAnsi="Times New Roman" w:cs="Times New Roman"/>
          <w:bCs/>
          <w:sz w:val="24"/>
          <w:szCs w:val="24"/>
        </w:rPr>
        <w:t>L’iniziativa legale è del Signor Lam Magok.</w:t>
      </w:r>
    </w:p>
    <w:p w14:paraId="647E7EAB" w14:textId="4FEE76C6" w:rsidR="00461467" w:rsidRPr="00461467" w:rsidRDefault="00461467" w:rsidP="002A4776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461467">
        <w:rPr>
          <w:rFonts w:ascii="Times New Roman" w:eastAsia="Bookman Old Style" w:hAnsi="Times New Roman" w:cs="Times New Roman"/>
          <w:bCs/>
          <w:sz w:val="24"/>
          <w:szCs w:val="24"/>
        </w:rPr>
        <w:t>Baobab Experience supporta, condivide e sostiene la decisione di Lam, attraverso lo staff legale dell’Associazione, nella figura dell’Avv. Francesco Romeo e attraverso l’Ufficio comunicazione.</w:t>
      </w:r>
    </w:p>
    <w:p w14:paraId="63CE438E" w14:textId="77777777" w:rsidR="00461467" w:rsidRPr="00461467" w:rsidRDefault="00461467" w:rsidP="00461467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461467">
        <w:rPr>
          <w:rFonts w:ascii="Times New Roman" w:eastAsia="Bookman Old Style" w:hAnsi="Times New Roman" w:cs="Times New Roman"/>
          <w:bCs/>
          <w:sz w:val="24"/>
          <w:szCs w:val="24"/>
        </w:rPr>
        <w:t xml:space="preserve">Contatti stampa: </w:t>
      </w:r>
    </w:p>
    <w:p w14:paraId="7B028BD4" w14:textId="77777777" w:rsidR="00461467" w:rsidRPr="00461467" w:rsidRDefault="00461467" w:rsidP="00461467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461467">
        <w:rPr>
          <w:rFonts w:ascii="Times New Roman" w:eastAsia="Bookman Old Style" w:hAnsi="Times New Roman" w:cs="Times New Roman"/>
          <w:bCs/>
          <w:sz w:val="24"/>
          <w:szCs w:val="24"/>
        </w:rPr>
        <w:t xml:space="preserve">Alice Basiglini, Baobab Experience </w:t>
      </w:r>
    </w:p>
    <w:p w14:paraId="6D8DE6F2" w14:textId="2BBB3DC7" w:rsidR="00461467" w:rsidRPr="00DB6CEF" w:rsidRDefault="00461467" w:rsidP="00461467">
      <w:pPr>
        <w:spacing w:line="360" w:lineRule="auto"/>
        <w:ind w:left="360"/>
        <w:jc w:val="both"/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461467">
        <w:rPr>
          <w:rFonts w:ascii="Times New Roman" w:eastAsia="Bookman Old Style" w:hAnsi="Times New Roman" w:cs="Times New Roman"/>
          <w:bCs/>
          <w:sz w:val="24"/>
          <w:szCs w:val="24"/>
        </w:rPr>
        <w:t>+39 333 33 90 580</w:t>
      </w:r>
    </w:p>
    <w:sectPr w:rsidR="00461467" w:rsidRPr="00DB6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3CD"/>
    <w:multiLevelType w:val="hybridMultilevel"/>
    <w:tmpl w:val="D0886FFA"/>
    <w:lvl w:ilvl="0" w:tplc="B36CBBB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0"/>
    <w:rsid w:val="00060CA1"/>
    <w:rsid w:val="00074A1D"/>
    <w:rsid w:val="00095934"/>
    <w:rsid w:val="000D244D"/>
    <w:rsid w:val="000F122A"/>
    <w:rsid w:val="000F1A00"/>
    <w:rsid w:val="0013275C"/>
    <w:rsid w:val="00136214"/>
    <w:rsid w:val="00193BF2"/>
    <w:rsid w:val="001E0BFE"/>
    <w:rsid w:val="00206788"/>
    <w:rsid w:val="00244D29"/>
    <w:rsid w:val="0025448B"/>
    <w:rsid w:val="002955EA"/>
    <w:rsid w:val="002A4776"/>
    <w:rsid w:val="002C446A"/>
    <w:rsid w:val="002D0192"/>
    <w:rsid w:val="002D5BFD"/>
    <w:rsid w:val="003C3AFB"/>
    <w:rsid w:val="00461467"/>
    <w:rsid w:val="00537572"/>
    <w:rsid w:val="0056739D"/>
    <w:rsid w:val="00590B36"/>
    <w:rsid w:val="005B2D25"/>
    <w:rsid w:val="00613EDB"/>
    <w:rsid w:val="0061560F"/>
    <w:rsid w:val="006234D3"/>
    <w:rsid w:val="006F2F95"/>
    <w:rsid w:val="0070200E"/>
    <w:rsid w:val="007252FD"/>
    <w:rsid w:val="00730F72"/>
    <w:rsid w:val="007F56C2"/>
    <w:rsid w:val="00801238"/>
    <w:rsid w:val="008D4814"/>
    <w:rsid w:val="008E0184"/>
    <w:rsid w:val="00912316"/>
    <w:rsid w:val="009145DA"/>
    <w:rsid w:val="009823AC"/>
    <w:rsid w:val="009A584C"/>
    <w:rsid w:val="009C62A6"/>
    <w:rsid w:val="00A17898"/>
    <w:rsid w:val="00A72EDD"/>
    <w:rsid w:val="00A82F40"/>
    <w:rsid w:val="00C509A9"/>
    <w:rsid w:val="00CC1014"/>
    <w:rsid w:val="00CD26A2"/>
    <w:rsid w:val="00CE51A5"/>
    <w:rsid w:val="00D32666"/>
    <w:rsid w:val="00D70823"/>
    <w:rsid w:val="00DB6CEF"/>
    <w:rsid w:val="00E40399"/>
    <w:rsid w:val="00F31DAF"/>
    <w:rsid w:val="00FE560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38C7"/>
  <w15:chartTrackingRefBased/>
  <w15:docId w15:val="{A4B06DDA-61F2-437E-8D86-6301B0DA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A00"/>
    <w:pPr>
      <w:spacing w:line="278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1A0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F1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AIOP Nazionale</dc:creator>
  <cp:keywords/>
  <dc:description/>
  <cp:lastModifiedBy>AIOP Nazionale</cp:lastModifiedBy>
  <cp:revision>3</cp:revision>
  <dcterms:created xsi:type="dcterms:W3CDTF">2025-02-27T09:12:00Z</dcterms:created>
  <dcterms:modified xsi:type="dcterms:W3CDTF">2025-02-27T17:33:00Z</dcterms:modified>
</cp:coreProperties>
</file>